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4E6" w:rsidRDefault="003004E6" w:rsidP="00C46144">
      <w:pPr>
        <w:jc w:val="center"/>
        <w:rPr>
          <w:rFonts w:asciiTheme="majorHAnsi" w:hAnsiTheme="majorHAnsi"/>
          <w:b/>
          <w:noProof/>
          <w:sz w:val="28"/>
          <w:szCs w:val="28"/>
          <w:lang w:val="en-GB"/>
        </w:rPr>
      </w:pPr>
    </w:p>
    <w:p w:rsidR="001B032B" w:rsidRPr="007D76BF" w:rsidRDefault="00C35E46" w:rsidP="00C46144">
      <w:pPr>
        <w:jc w:val="center"/>
        <w:rPr>
          <w:rFonts w:asciiTheme="majorHAnsi" w:hAnsiTheme="majorHAnsi"/>
          <w:b/>
          <w:noProof/>
          <w:sz w:val="28"/>
          <w:szCs w:val="28"/>
          <w:lang w:val="en-GB"/>
        </w:rPr>
      </w:pPr>
      <w:r w:rsidRPr="007D76BF">
        <w:rPr>
          <w:rFonts w:asciiTheme="majorHAnsi" w:hAnsiTheme="majorHAnsi"/>
          <w:b/>
          <w:noProof/>
          <w:sz w:val="28"/>
          <w:szCs w:val="28"/>
          <w:lang w:val="en-GB"/>
        </w:rPr>
        <w:t xml:space="preserve">Indicative </w:t>
      </w:r>
      <w:r w:rsidR="00D0333B" w:rsidRPr="007D76BF">
        <w:rPr>
          <w:rFonts w:asciiTheme="majorHAnsi" w:hAnsiTheme="majorHAnsi"/>
          <w:b/>
          <w:noProof/>
          <w:sz w:val="28"/>
          <w:szCs w:val="28"/>
          <w:lang w:val="en-GB"/>
        </w:rPr>
        <w:t xml:space="preserve">list of </w:t>
      </w:r>
      <w:r w:rsidR="001949CB" w:rsidRPr="007D76BF">
        <w:rPr>
          <w:rFonts w:asciiTheme="majorHAnsi" w:hAnsiTheme="majorHAnsi"/>
          <w:b/>
          <w:noProof/>
          <w:sz w:val="28"/>
          <w:szCs w:val="28"/>
          <w:lang w:val="en-GB"/>
        </w:rPr>
        <w:t xml:space="preserve">potential beneficiaries </w:t>
      </w:r>
    </w:p>
    <w:p w:rsidR="00FD3EA6" w:rsidRDefault="00FD3EA6" w:rsidP="00FD3EA6">
      <w:pPr>
        <w:pStyle w:val="Default"/>
        <w:spacing w:after="1"/>
        <w:jc w:val="both"/>
        <w:rPr>
          <w:rFonts w:asciiTheme="majorHAnsi" w:hAnsiTheme="majorHAnsi"/>
          <w:b/>
          <w:bCs/>
          <w:i/>
          <w:iCs/>
          <w:noProof/>
          <w:sz w:val="22"/>
          <w:szCs w:val="22"/>
          <w:lang w:val="en-GB"/>
        </w:rPr>
      </w:pPr>
      <w:r w:rsidRPr="00FD3EA6">
        <w:rPr>
          <w:rFonts w:asciiTheme="majorHAnsi" w:hAnsiTheme="majorHAnsi"/>
          <w:b/>
          <w:bCs/>
          <w:i/>
          <w:iCs/>
          <w:noProof/>
          <w:sz w:val="22"/>
          <w:szCs w:val="22"/>
          <w:lang w:val="en-GB"/>
        </w:rPr>
        <w:t xml:space="preserve">Priority 1.1 – Institutional cooperation in the educational field for increasing access to education and quality of education </w:t>
      </w:r>
    </w:p>
    <w:p w:rsidR="00FD3EA6" w:rsidRPr="00FD3EA6" w:rsidRDefault="00FD3EA6" w:rsidP="00FD3EA6">
      <w:pPr>
        <w:pStyle w:val="Default"/>
        <w:numPr>
          <w:ilvl w:val="0"/>
          <w:numId w:val="11"/>
        </w:numPr>
        <w:spacing w:after="1"/>
        <w:ind w:left="720"/>
        <w:jc w:val="both"/>
        <w:rPr>
          <w:rFonts w:asciiTheme="majorHAnsi" w:hAnsiTheme="majorHAnsi"/>
          <w:noProof/>
          <w:sz w:val="22"/>
          <w:szCs w:val="22"/>
          <w:lang w:val="en-GB"/>
        </w:rPr>
      </w:pPr>
      <w:r w:rsidRPr="00FD3EA6">
        <w:rPr>
          <w:rFonts w:asciiTheme="majorHAnsi" w:hAnsiTheme="majorHAnsi"/>
          <w:noProof/>
          <w:sz w:val="22"/>
          <w:szCs w:val="22"/>
          <w:lang w:val="en-GB"/>
        </w:rPr>
        <w:t xml:space="preserve">National/ regional/ local public administration and other public institutions </w:t>
      </w:r>
    </w:p>
    <w:p w:rsidR="00FD3EA6" w:rsidRPr="00FD3EA6" w:rsidRDefault="00FD3EA6" w:rsidP="00FD3EA6">
      <w:pPr>
        <w:pStyle w:val="Default"/>
        <w:numPr>
          <w:ilvl w:val="0"/>
          <w:numId w:val="11"/>
        </w:numPr>
        <w:spacing w:after="1"/>
        <w:ind w:left="720"/>
        <w:jc w:val="both"/>
        <w:rPr>
          <w:rFonts w:asciiTheme="majorHAnsi" w:hAnsiTheme="majorHAnsi"/>
          <w:noProof/>
          <w:sz w:val="22"/>
          <w:szCs w:val="22"/>
          <w:lang w:val="en-GB"/>
        </w:rPr>
      </w:pPr>
      <w:r w:rsidRPr="00FD3EA6">
        <w:rPr>
          <w:rFonts w:asciiTheme="majorHAnsi" w:hAnsiTheme="majorHAnsi"/>
          <w:noProof/>
          <w:sz w:val="22"/>
          <w:szCs w:val="22"/>
          <w:lang w:val="en-GB"/>
        </w:rPr>
        <w:t>Education institutions;</w:t>
      </w:r>
    </w:p>
    <w:p w:rsidR="00FD3EA6" w:rsidRPr="00FD3EA6" w:rsidRDefault="00FD3EA6" w:rsidP="00FD3EA6">
      <w:pPr>
        <w:pStyle w:val="Default"/>
        <w:numPr>
          <w:ilvl w:val="0"/>
          <w:numId w:val="11"/>
        </w:numPr>
        <w:spacing w:after="1"/>
        <w:ind w:left="720"/>
        <w:jc w:val="both"/>
        <w:rPr>
          <w:rFonts w:asciiTheme="majorHAnsi" w:hAnsiTheme="majorHAnsi"/>
          <w:noProof/>
          <w:sz w:val="22"/>
          <w:szCs w:val="22"/>
          <w:lang w:val="en-GB"/>
        </w:rPr>
      </w:pPr>
      <w:r w:rsidRPr="00FD3EA6">
        <w:rPr>
          <w:rFonts w:asciiTheme="majorHAnsi" w:hAnsiTheme="majorHAnsi"/>
          <w:noProof/>
          <w:sz w:val="22"/>
          <w:szCs w:val="22"/>
          <w:lang w:val="en-GB"/>
        </w:rPr>
        <w:t>NGOs / professional teachers associations/ other relevant associations</w:t>
      </w:r>
    </w:p>
    <w:p w:rsidR="00FD3EA6" w:rsidRPr="00FD3EA6" w:rsidRDefault="00FD3EA6" w:rsidP="00FD3EA6">
      <w:pPr>
        <w:pStyle w:val="Default"/>
        <w:numPr>
          <w:ilvl w:val="0"/>
          <w:numId w:val="11"/>
        </w:numPr>
        <w:spacing w:after="1"/>
        <w:ind w:left="720"/>
        <w:jc w:val="both"/>
        <w:rPr>
          <w:rFonts w:asciiTheme="majorHAnsi" w:hAnsiTheme="majorHAnsi"/>
          <w:noProof/>
          <w:sz w:val="22"/>
          <w:szCs w:val="22"/>
          <w:lang w:val="en-GB"/>
        </w:rPr>
      </w:pPr>
      <w:r w:rsidRPr="00FD3EA6">
        <w:rPr>
          <w:rFonts w:asciiTheme="majorHAnsi" w:hAnsiTheme="majorHAnsi"/>
          <w:noProof/>
          <w:sz w:val="22"/>
          <w:szCs w:val="22"/>
          <w:lang w:val="en-GB"/>
        </w:rPr>
        <w:t>Health organizations acting  to prevent and cope with alcohol and drug abuse</w:t>
      </w:r>
      <w:r>
        <w:rPr>
          <w:rStyle w:val="FootnoteReference"/>
          <w:rFonts w:asciiTheme="majorHAnsi" w:hAnsiTheme="majorHAnsi"/>
          <w:noProof/>
          <w:sz w:val="22"/>
          <w:szCs w:val="22"/>
          <w:lang w:val="en-GB"/>
        </w:rPr>
        <w:footnoteReference w:id="1"/>
      </w:r>
      <w:r w:rsidRPr="00FD3EA6">
        <w:rPr>
          <w:rFonts w:asciiTheme="majorHAnsi" w:hAnsiTheme="majorHAnsi"/>
          <w:noProof/>
          <w:sz w:val="22"/>
          <w:szCs w:val="22"/>
          <w:lang w:val="en-GB"/>
        </w:rPr>
        <w:t xml:space="preserve"> </w:t>
      </w:r>
    </w:p>
    <w:p w:rsidR="00A7498B" w:rsidRPr="00A7498B" w:rsidRDefault="00A7498B" w:rsidP="00A7498B">
      <w:pPr>
        <w:pStyle w:val="Default"/>
        <w:spacing w:after="1"/>
        <w:ind w:left="720"/>
        <w:jc w:val="both"/>
        <w:rPr>
          <w:rFonts w:asciiTheme="majorHAnsi" w:hAnsiTheme="majorHAnsi"/>
          <w:noProof/>
          <w:sz w:val="22"/>
          <w:szCs w:val="22"/>
          <w:lang w:val="en-GB"/>
        </w:rPr>
      </w:pPr>
    </w:p>
    <w:p w:rsidR="00B25EE4" w:rsidRPr="007D76BF" w:rsidRDefault="00B25EE4" w:rsidP="00B25EE4">
      <w:pPr>
        <w:pStyle w:val="Default"/>
        <w:spacing w:after="1"/>
        <w:jc w:val="both"/>
        <w:rPr>
          <w:rFonts w:asciiTheme="majorHAnsi" w:hAnsiTheme="majorHAnsi"/>
          <w:b/>
          <w:bCs/>
          <w:i/>
          <w:iCs/>
          <w:noProof/>
          <w:sz w:val="22"/>
          <w:szCs w:val="22"/>
          <w:lang w:val="en-GB"/>
        </w:rPr>
      </w:pPr>
      <w:r w:rsidRPr="00B25EE4">
        <w:rPr>
          <w:rFonts w:asciiTheme="majorHAnsi" w:hAnsiTheme="majorHAnsi"/>
          <w:b/>
          <w:bCs/>
          <w:i/>
          <w:iCs/>
          <w:noProof/>
          <w:sz w:val="22"/>
          <w:szCs w:val="22"/>
          <w:lang w:val="en-GB"/>
        </w:rPr>
        <w:t xml:space="preserve">Priority 1.2 – </w:t>
      </w:r>
      <w:r w:rsidR="00060912" w:rsidRPr="00060912">
        <w:rPr>
          <w:rFonts w:asciiTheme="majorHAnsi" w:hAnsiTheme="majorHAnsi"/>
          <w:b/>
          <w:bCs/>
          <w:i/>
          <w:iCs/>
          <w:noProof/>
          <w:sz w:val="22"/>
          <w:szCs w:val="22"/>
          <w:lang w:val="en-GB"/>
        </w:rPr>
        <w:t>Promotion and support for research and innovation</w:t>
      </w:r>
    </w:p>
    <w:p w:rsidR="00060912" w:rsidRPr="00060912" w:rsidRDefault="00060912" w:rsidP="00060912">
      <w:pPr>
        <w:pStyle w:val="Default"/>
        <w:numPr>
          <w:ilvl w:val="0"/>
          <w:numId w:val="12"/>
        </w:numPr>
        <w:spacing w:after="1"/>
        <w:jc w:val="both"/>
        <w:rPr>
          <w:rFonts w:asciiTheme="majorHAnsi" w:hAnsiTheme="majorHAnsi"/>
          <w:noProof/>
          <w:sz w:val="22"/>
          <w:szCs w:val="22"/>
          <w:lang w:val="en-GB"/>
        </w:rPr>
      </w:pPr>
      <w:r w:rsidRPr="00060912">
        <w:rPr>
          <w:rFonts w:asciiTheme="majorHAnsi" w:hAnsiTheme="majorHAnsi"/>
          <w:noProof/>
          <w:sz w:val="22"/>
          <w:szCs w:val="22"/>
          <w:lang w:val="en-GB"/>
        </w:rPr>
        <w:t xml:space="preserve">Universities, </w:t>
      </w:r>
    </w:p>
    <w:p w:rsidR="00060912" w:rsidRPr="00060912" w:rsidRDefault="00060912" w:rsidP="00060912">
      <w:pPr>
        <w:pStyle w:val="Default"/>
        <w:numPr>
          <w:ilvl w:val="0"/>
          <w:numId w:val="12"/>
        </w:numPr>
        <w:spacing w:after="1"/>
        <w:jc w:val="both"/>
        <w:rPr>
          <w:rFonts w:asciiTheme="majorHAnsi" w:hAnsiTheme="majorHAnsi"/>
          <w:noProof/>
          <w:sz w:val="22"/>
          <w:szCs w:val="22"/>
          <w:lang w:val="en-GB"/>
        </w:rPr>
      </w:pPr>
      <w:r w:rsidRPr="00060912">
        <w:rPr>
          <w:rFonts w:asciiTheme="majorHAnsi" w:hAnsiTheme="majorHAnsi"/>
          <w:noProof/>
          <w:sz w:val="22"/>
          <w:szCs w:val="22"/>
          <w:lang w:val="en-GB"/>
        </w:rPr>
        <w:t xml:space="preserve">Research institutes/ organizations </w:t>
      </w:r>
    </w:p>
    <w:p w:rsidR="00060912" w:rsidRPr="00060912" w:rsidRDefault="00060912" w:rsidP="00060912">
      <w:pPr>
        <w:pStyle w:val="Default"/>
        <w:numPr>
          <w:ilvl w:val="0"/>
          <w:numId w:val="12"/>
        </w:numPr>
        <w:spacing w:after="1"/>
        <w:jc w:val="both"/>
        <w:rPr>
          <w:rFonts w:asciiTheme="majorHAnsi" w:hAnsiTheme="majorHAnsi"/>
          <w:noProof/>
          <w:sz w:val="22"/>
          <w:szCs w:val="22"/>
          <w:lang w:val="en-GB"/>
        </w:rPr>
      </w:pPr>
      <w:r w:rsidRPr="00060912">
        <w:rPr>
          <w:rFonts w:asciiTheme="majorHAnsi" w:hAnsiTheme="majorHAnsi"/>
          <w:noProof/>
          <w:sz w:val="22"/>
          <w:szCs w:val="22"/>
          <w:lang w:val="en-GB"/>
        </w:rPr>
        <w:t xml:space="preserve">National/ regional/ local public administration and other public institutions; </w:t>
      </w:r>
    </w:p>
    <w:p w:rsidR="00060912" w:rsidRPr="00060912" w:rsidRDefault="00060912" w:rsidP="00060912">
      <w:pPr>
        <w:pStyle w:val="Default"/>
        <w:numPr>
          <w:ilvl w:val="0"/>
          <w:numId w:val="12"/>
        </w:numPr>
        <w:spacing w:after="1"/>
        <w:jc w:val="both"/>
        <w:rPr>
          <w:rFonts w:asciiTheme="majorHAnsi" w:hAnsiTheme="majorHAnsi"/>
          <w:noProof/>
          <w:sz w:val="22"/>
          <w:szCs w:val="22"/>
          <w:lang w:val="en-GB"/>
        </w:rPr>
      </w:pPr>
      <w:r w:rsidRPr="00060912">
        <w:rPr>
          <w:rFonts w:asciiTheme="majorHAnsi" w:hAnsiTheme="majorHAnsi"/>
          <w:noProof/>
          <w:sz w:val="22"/>
          <w:szCs w:val="22"/>
          <w:lang w:val="en-GB"/>
        </w:rPr>
        <w:t>NGOs/ Professional/ entrepreneurial  associations</w:t>
      </w:r>
    </w:p>
    <w:p w:rsidR="00B25EE4" w:rsidRDefault="00B25EE4" w:rsidP="00B25EE4">
      <w:pPr>
        <w:pStyle w:val="Default"/>
        <w:spacing w:after="1"/>
        <w:jc w:val="both"/>
        <w:rPr>
          <w:rFonts w:asciiTheme="majorHAnsi" w:hAnsiTheme="majorHAnsi"/>
          <w:noProof/>
          <w:sz w:val="22"/>
          <w:szCs w:val="22"/>
          <w:lang w:val="en-GB"/>
        </w:rPr>
      </w:pPr>
    </w:p>
    <w:p w:rsidR="00B25EE4" w:rsidRPr="007D76BF" w:rsidRDefault="00B25EE4" w:rsidP="00B25EE4">
      <w:pPr>
        <w:pStyle w:val="Default"/>
        <w:spacing w:after="1"/>
        <w:jc w:val="both"/>
        <w:rPr>
          <w:rFonts w:asciiTheme="majorHAnsi" w:hAnsiTheme="majorHAnsi"/>
          <w:b/>
          <w:bCs/>
          <w:i/>
          <w:iCs/>
          <w:noProof/>
          <w:sz w:val="22"/>
          <w:szCs w:val="22"/>
          <w:lang w:val="en-GB"/>
        </w:rPr>
      </w:pPr>
      <w:r w:rsidRPr="00B25EE4">
        <w:rPr>
          <w:rFonts w:asciiTheme="majorHAnsi" w:hAnsiTheme="majorHAnsi"/>
          <w:b/>
          <w:bCs/>
          <w:i/>
          <w:iCs/>
          <w:noProof/>
          <w:sz w:val="22"/>
          <w:szCs w:val="22"/>
          <w:lang w:val="en-GB"/>
        </w:rPr>
        <w:t xml:space="preserve">Priority 2.1 – </w:t>
      </w:r>
      <w:r w:rsidR="00197B72" w:rsidRPr="00197B72">
        <w:rPr>
          <w:rFonts w:asciiTheme="majorHAnsi" w:hAnsiTheme="majorHAnsi"/>
          <w:b/>
          <w:bCs/>
          <w:i/>
          <w:iCs/>
          <w:noProof/>
          <w:sz w:val="22"/>
          <w:szCs w:val="22"/>
          <w:lang w:val="en-GB"/>
        </w:rPr>
        <w:t xml:space="preserve">Preservation and promotion of the cultural and historical heritage  </w:t>
      </w:r>
    </w:p>
    <w:p w:rsidR="00197B72" w:rsidRPr="00197B72" w:rsidRDefault="00197B72" w:rsidP="00197B72">
      <w:pPr>
        <w:pStyle w:val="Default"/>
        <w:numPr>
          <w:ilvl w:val="0"/>
          <w:numId w:val="13"/>
        </w:numPr>
        <w:spacing w:after="1"/>
        <w:jc w:val="both"/>
        <w:rPr>
          <w:rFonts w:asciiTheme="majorHAnsi" w:hAnsiTheme="majorHAnsi"/>
          <w:noProof/>
          <w:sz w:val="22"/>
          <w:szCs w:val="22"/>
          <w:lang w:val="en-GB"/>
        </w:rPr>
      </w:pPr>
      <w:r w:rsidRPr="00197B72">
        <w:rPr>
          <w:rFonts w:asciiTheme="majorHAnsi" w:hAnsiTheme="majorHAnsi"/>
          <w:noProof/>
          <w:sz w:val="22"/>
          <w:szCs w:val="22"/>
          <w:lang w:val="en-GB"/>
        </w:rPr>
        <w:t>Museums, cultural/religious/cult institutions</w:t>
      </w:r>
    </w:p>
    <w:p w:rsidR="00197B72" w:rsidRPr="00197B72" w:rsidRDefault="00197B72" w:rsidP="00197B72">
      <w:pPr>
        <w:pStyle w:val="Default"/>
        <w:numPr>
          <w:ilvl w:val="0"/>
          <w:numId w:val="13"/>
        </w:numPr>
        <w:spacing w:after="1"/>
        <w:jc w:val="both"/>
        <w:rPr>
          <w:rFonts w:asciiTheme="majorHAnsi" w:hAnsiTheme="majorHAnsi"/>
          <w:noProof/>
          <w:sz w:val="22"/>
          <w:szCs w:val="22"/>
          <w:lang w:val="en-GB"/>
        </w:rPr>
      </w:pPr>
      <w:r w:rsidRPr="00197B72">
        <w:rPr>
          <w:rFonts w:asciiTheme="majorHAnsi" w:hAnsiTheme="majorHAnsi"/>
          <w:noProof/>
          <w:sz w:val="22"/>
          <w:szCs w:val="22"/>
          <w:lang w:val="en-GB"/>
        </w:rPr>
        <w:t xml:space="preserve">National/ regional/ local public authorities and other public institutions ; </w:t>
      </w:r>
    </w:p>
    <w:p w:rsidR="00197B72" w:rsidRPr="00197B72" w:rsidRDefault="00197B72" w:rsidP="00197B72">
      <w:pPr>
        <w:pStyle w:val="Default"/>
        <w:numPr>
          <w:ilvl w:val="0"/>
          <w:numId w:val="13"/>
        </w:numPr>
        <w:spacing w:after="1"/>
        <w:jc w:val="both"/>
        <w:rPr>
          <w:rFonts w:asciiTheme="majorHAnsi" w:hAnsiTheme="majorHAnsi"/>
          <w:noProof/>
          <w:sz w:val="22"/>
          <w:szCs w:val="22"/>
          <w:lang w:val="en-GB"/>
        </w:rPr>
      </w:pPr>
      <w:r w:rsidRPr="00197B72">
        <w:rPr>
          <w:rFonts w:asciiTheme="majorHAnsi" w:hAnsiTheme="majorHAnsi"/>
          <w:noProof/>
          <w:sz w:val="22"/>
          <w:szCs w:val="22"/>
          <w:lang w:val="en-GB"/>
        </w:rPr>
        <w:t>NGOs, cultural and tourism associations;</w:t>
      </w:r>
    </w:p>
    <w:p w:rsidR="00B25EE4" w:rsidRDefault="00197B72" w:rsidP="00197B72">
      <w:pPr>
        <w:pStyle w:val="Default"/>
        <w:numPr>
          <w:ilvl w:val="0"/>
          <w:numId w:val="13"/>
        </w:numPr>
        <w:spacing w:after="1"/>
        <w:jc w:val="both"/>
        <w:rPr>
          <w:rFonts w:asciiTheme="majorHAnsi" w:hAnsiTheme="majorHAnsi"/>
          <w:noProof/>
          <w:sz w:val="22"/>
          <w:szCs w:val="22"/>
          <w:lang w:val="en-GB"/>
        </w:rPr>
      </w:pPr>
      <w:r w:rsidRPr="00197B72">
        <w:rPr>
          <w:rFonts w:asciiTheme="majorHAnsi" w:hAnsiTheme="majorHAnsi"/>
          <w:noProof/>
          <w:sz w:val="22"/>
          <w:szCs w:val="22"/>
          <w:lang w:val="en-GB"/>
        </w:rPr>
        <w:t>Local business associations in the domain of tradi</w:t>
      </w:r>
      <w:r>
        <w:rPr>
          <w:rFonts w:asciiTheme="majorHAnsi" w:hAnsiTheme="majorHAnsi"/>
          <w:noProof/>
          <w:sz w:val="22"/>
          <w:szCs w:val="22"/>
          <w:lang w:val="en-GB"/>
        </w:rPr>
        <w:t>tional and craftsmen activities.</w:t>
      </w:r>
    </w:p>
    <w:p w:rsidR="00197B72" w:rsidRPr="007D76BF" w:rsidRDefault="00197B72" w:rsidP="00197B72">
      <w:pPr>
        <w:pStyle w:val="Default"/>
        <w:spacing w:after="1"/>
        <w:ind w:left="1440"/>
        <w:jc w:val="both"/>
        <w:rPr>
          <w:rFonts w:asciiTheme="majorHAnsi" w:hAnsiTheme="majorHAnsi"/>
          <w:noProof/>
          <w:sz w:val="22"/>
          <w:szCs w:val="22"/>
          <w:lang w:val="en-GB"/>
        </w:rPr>
      </w:pPr>
    </w:p>
    <w:p w:rsidR="00B25EE4" w:rsidRPr="007D76BF" w:rsidRDefault="00B25EE4" w:rsidP="00B25EE4">
      <w:pPr>
        <w:pStyle w:val="Default"/>
        <w:spacing w:after="1"/>
        <w:jc w:val="both"/>
        <w:rPr>
          <w:rFonts w:asciiTheme="majorHAnsi" w:hAnsiTheme="majorHAnsi"/>
          <w:b/>
          <w:bCs/>
          <w:i/>
          <w:iCs/>
          <w:noProof/>
          <w:sz w:val="22"/>
          <w:szCs w:val="22"/>
          <w:lang w:val="en-GB"/>
        </w:rPr>
      </w:pPr>
      <w:r w:rsidRPr="00B25EE4">
        <w:rPr>
          <w:rFonts w:asciiTheme="majorHAnsi" w:hAnsiTheme="majorHAnsi"/>
          <w:b/>
          <w:bCs/>
          <w:i/>
          <w:iCs/>
          <w:noProof/>
          <w:sz w:val="22"/>
          <w:szCs w:val="22"/>
          <w:lang w:val="en-GB"/>
        </w:rPr>
        <w:t>Priority 3.1 –</w:t>
      </w:r>
      <w:r w:rsidR="00FF034D" w:rsidRPr="00FF034D">
        <w:t xml:space="preserve"> </w:t>
      </w:r>
      <w:r w:rsidR="00FF034D" w:rsidRPr="00FF034D">
        <w:rPr>
          <w:rFonts w:asciiTheme="majorHAnsi" w:hAnsiTheme="majorHAnsi"/>
          <w:b/>
          <w:bCs/>
          <w:i/>
          <w:iCs/>
          <w:noProof/>
          <w:sz w:val="22"/>
          <w:szCs w:val="22"/>
          <w:lang w:val="en-GB"/>
        </w:rPr>
        <w:t xml:space="preserve">Development of cross border transport infrastructure and ICT </w:t>
      </w:r>
      <w:r w:rsidR="009F6E17">
        <w:rPr>
          <w:rFonts w:asciiTheme="majorHAnsi" w:hAnsiTheme="majorHAnsi"/>
          <w:b/>
          <w:bCs/>
          <w:i/>
          <w:iCs/>
          <w:noProof/>
          <w:sz w:val="22"/>
          <w:szCs w:val="22"/>
          <w:lang w:val="en-GB"/>
        </w:rPr>
        <w:t>infrastructure</w:t>
      </w:r>
    </w:p>
    <w:p w:rsidR="00FF034D" w:rsidRPr="00FF034D" w:rsidRDefault="00FF034D" w:rsidP="00FF034D">
      <w:pPr>
        <w:pStyle w:val="Default"/>
        <w:numPr>
          <w:ilvl w:val="0"/>
          <w:numId w:val="14"/>
        </w:numPr>
        <w:spacing w:after="1"/>
        <w:jc w:val="both"/>
        <w:rPr>
          <w:rFonts w:asciiTheme="majorHAnsi" w:hAnsiTheme="majorHAnsi"/>
          <w:noProof/>
          <w:sz w:val="22"/>
          <w:szCs w:val="22"/>
          <w:lang w:val="en-GB"/>
        </w:rPr>
      </w:pPr>
      <w:r w:rsidRPr="00FF034D">
        <w:rPr>
          <w:rFonts w:asciiTheme="majorHAnsi" w:hAnsiTheme="majorHAnsi"/>
          <w:noProof/>
          <w:sz w:val="22"/>
          <w:szCs w:val="22"/>
          <w:lang w:val="en-GB"/>
        </w:rPr>
        <w:t xml:space="preserve">National/ regional/ local public administration and other public institutions; </w:t>
      </w:r>
    </w:p>
    <w:p w:rsidR="00B25EE4" w:rsidRPr="00FF034D" w:rsidRDefault="00FF034D" w:rsidP="00FF034D">
      <w:pPr>
        <w:pStyle w:val="Default"/>
        <w:numPr>
          <w:ilvl w:val="0"/>
          <w:numId w:val="14"/>
        </w:numPr>
        <w:spacing w:after="1"/>
        <w:jc w:val="both"/>
        <w:rPr>
          <w:rFonts w:asciiTheme="majorHAnsi" w:hAnsiTheme="majorHAnsi"/>
          <w:b/>
          <w:bCs/>
          <w:i/>
          <w:iCs/>
          <w:noProof/>
          <w:sz w:val="22"/>
          <w:szCs w:val="22"/>
          <w:lang w:val="en-GB"/>
        </w:rPr>
      </w:pPr>
      <w:r w:rsidRPr="00FF034D">
        <w:rPr>
          <w:rFonts w:asciiTheme="majorHAnsi" w:hAnsiTheme="majorHAnsi"/>
          <w:noProof/>
          <w:sz w:val="22"/>
          <w:szCs w:val="22"/>
          <w:lang w:val="en-GB"/>
        </w:rPr>
        <w:t>State owned companies administrating transport and communication infrastructure</w:t>
      </w:r>
    </w:p>
    <w:p w:rsidR="00FF034D" w:rsidRDefault="00FF034D" w:rsidP="00FF034D">
      <w:pPr>
        <w:pStyle w:val="Default"/>
        <w:spacing w:after="1"/>
        <w:ind w:left="720"/>
        <w:jc w:val="both"/>
        <w:rPr>
          <w:rFonts w:asciiTheme="majorHAnsi" w:hAnsiTheme="majorHAnsi"/>
          <w:b/>
          <w:bCs/>
          <w:i/>
          <w:iCs/>
          <w:noProof/>
          <w:sz w:val="22"/>
          <w:szCs w:val="22"/>
          <w:lang w:val="en-GB"/>
        </w:rPr>
      </w:pPr>
    </w:p>
    <w:p w:rsidR="00937307" w:rsidRPr="00B25EE4" w:rsidRDefault="00937307" w:rsidP="00937307">
      <w:pPr>
        <w:pStyle w:val="Default"/>
        <w:spacing w:after="1"/>
        <w:jc w:val="both"/>
        <w:rPr>
          <w:rFonts w:asciiTheme="majorHAnsi" w:hAnsiTheme="majorHAnsi"/>
          <w:b/>
          <w:bCs/>
          <w:i/>
          <w:iCs/>
          <w:noProof/>
          <w:sz w:val="22"/>
          <w:szCs w:val="22"/>
          <w:lang w:val="en-GB"/>
        </w:rPr>
      </w:pPr>
      <w:r w:rsidRPr="007D76BF">
        <w:rPr>
          <w:rFonts w:asciiTheme="majorHAnsi" w:hAnsiTheme="majorHAnsi"/>
          <w:b/>
          <w:bCs/>
          <w:i/>
          <w:iCs/>
          <w:noProof/>
          <w:sz w:val="22"/>
          <w:szCs w:val="22"/>
          <w:lang w:val="en-GB"/>
        </w:rPr>
        <w:t xml:space="preserve">Priority 4.1 - </w:t>
      </w:r>
      <w:r w:rsidR="00FF034D" w:rsidRPr="00FF034D">
        <w:rPr>
          <w:rFonts w:asciiTheme="majorHAnsi" w:hAnsiTheme="majorHAnsi"/>
          <w:b/>
          <w:bCs/>
          <w:i/>
          <w:iCs/>
          <w:noProof/>
          <w:sz w:val="22"/>
          <w:szCs w:val="22"/>
          <w:lang w:val="en-GB"/>
        </w:rPr>
        <w:t>Support to the development of health services and access to health</w:t>
      </w:r>
    </w:p>
    <w:p w:rsidR="00FF034D" w:rsidRPr="00FF034D" w:rsidRDefault="00FF034D" w:rsidP="00FF034D">
      <w:pPr>
        <w:pStyle w:val="Default"/>
        <w:numPr>
          <w:ilvl w:val="0"/>
          <w:numId w:val="15"/>
        </w:numPr>
        <w:jc w:val="both"/>
        <w:rPr>
          <w:rFonts w:asciiTheme="majorHAnsi" w:hAnsiTheme="majorHAnsi"/>
          <w:noProof/>
          <w:sz w:val="22"/>
          <w:szCs w:val="22"/>
          <w:lang w:val="en-GB"/>
        </w:rPr>
      </w:pPr>
      <w:r w:rsidRPr="00FF034D">
        <w:rPr>
          <w:rFonts w:asciiTheme="majorHAnsi" w:hAnsiTheme="majorHAnsi"/>
          <w:noProof/>
          <w:sz w:val="22"/>
          <w:szCs w:val="22"/>
          <w:lang w:val="en-GB"/>
        </w:rPr>
        <w:t xml:space="preserve">National/ regional/ local public administration and other public institutions; </w:t>
      </w:r>
    </w:p>
    <w:p w:rsidR="00FF034D" w:rsidRPr="00FF034D" w:rsidRDefault="00FF034D" w:rsidP="00FF034D">
      <w:pPr>
        <w:pStyle w:val="Default"/>
        <w:numPr>
          <w:ilvl w:val="0"/>
          <w:numId w:val="15"/>
        </w:numPr>
        <w:jc w:val="both"/>
        <w:rPr>
          <w:rFonts w:asciiTheme="majorHAnsi" w:hAnsiTheme="majorHAnsi"/>
          <w:noProof/>
          <w:sz w:val="22"/>
          <w:szCs w:val="22"/>
          <w:lang w:val="en-GB"/>
        </w:rPr>
      </w:pPr>
      <w:r w:rsidRPr="00FF034D">
        <w:rPr>
          <w:rFonts w:asciiTheme="majorHAnsi" w:hAnsiTheme="majorHAnsi"/>
          <w:noProof/>
          <w:sz w:val="22"/>
          <w:szCs w:val="22"/>
          <w:lang w:val="en-GB"/>
        </w:rPr>
        <w:t xml:space="preserve">National/regional/local/ institutions acting in the field of health and social policies; </w:t>
      </w:r>
    </w:p>
    <w:p w:rsidR="00FF034D" w:rsidRPr="00FF034D" w:rsidRDefault="00FF034D" w:rsidP="00FF034D">
      <w:pPr>
        <w:pStyle w:val="Default"/>
        <w:numPr>
          <w:ilvl w:val="0"/>
          <w:numId w:val="15"/>
        </w:numPr>
        <w:jc w:val="both"/>
        <w:rPr>
          <w:rFonts w:asciiTheme="majorHAnsi" w:hAnsiTheme="majorHAnsi"/>
          <w:noProof/>
          <w:sz w:val="22"/>
          <w:szCs w:val="22"/>
          <w:lang w:val="en-GB"/>
        </w:rPr>
      </w:pPr>
      <w:r w:rsidRPr="00FF034D">
        <w:rPr>
          <w:rFonts w:asciiTheme="majorHAnsi" w:hAnsiTheme="majorHAnsi"/>
          <w:noProof/>
          <w:sz w:val="22"/>
          <w:szCs w:val="22"/>
          <w:lang w:val="en-GB"/>
        </w:rPr>
        <w:t xml:space="preserve">NGOs, universities and Research organizations;  </w:t>
      </w:r>
    </w:p>
    <w:p w:rsidR="00FF034D" w:rsidRPr="00FF034D" w:rsidRDefault="00FF034D" w:rsidP="00FF034D">
      <w:pPr>
        <w:pStyle w:val="Default"/>
        <w:numPr>
          <w:ilvl w:val="0"/>
          <w:numId w:val="15"/>
        </w:numPr>
        <w:jc w:val="both"/>
        <w:rPr>
          <w:rFonts w:asciiTheme="majorHAnsi" w:hAnsiTheme="majorHAnsi"/>
          <w:noProof/>
          <w:sz w:val="22"/>
          <w:szCs w:val="22"/>
          <w:lang w:val="en-GB"/>
        </w:rPr>
      </w:pPr>
      <w:r w:rsidRPr="00FF034D">
        <w:rPr>
          <w:rFonts w:asciiTheme="majorHAnsi" w:hAnsiTheme="majorHAnsi"/>
          <w:noProof/>
          <w:sz w:val="22"/>
          <w:szCs w:val="22"/>
          <w:lang w:val="en-GB"/>
        </w:rPr>
        <w:t>Professional medical and patient associations.</w:t>
      </w:r>
    </w:p>
    <w:p w:rsidR="00A7498B" w:rsidRDefault="00A7498B" w:rsidP="00A7498B">
      <w:pPr>
        <w:pStyle w:val="Default"/>
        <w:jc w:val="both"/>
        <w:rPr>
          <w:rFonts w:asciiTheme="majorHAnsi" w:hAnsiTheme="majorHAnsi"/>
          <w:noProof/>
          <w:sz w:val="22"/>
          <w:szCs w:val="22"/>
          <w:lang w:val="en-GB"/>
        </w:rPr>
      </w:pPr>
    </w:p>
    <w:p w:rsidR="00A7498B" w:rsidRPr="00B25EE4" w:rsidRDefault="00A7498B" w:rsidP="00A7498B">
      <w:pPr>
        <w:pStyle w:val="Default"/>
        <w:spacing w:after="1"/>
        <w:jc w:val="both"/>
        <w:rPr>
          <w:rFonts w:asciiTheme="majorHAnsi" w:hAnsiTheme="majorHAnsi"/>
          <w:b/>
          <w:bCs/>
          <w:i/>
          <w:iCs/>
          <w:noProof/>
          <w:sz w:val="22"/>
          <w:szCs w:val="22"/>
          <w:lang w:val="en-GB"/>
        </w:rPr>
      </w:pPr>
      <w:r w:rsidRPr="00A7498B">
        <w:rPr>
          <w:rFonts w:asciiTheme="majorHAnsi" w:hAnsiTheme="majorHAnsi"/>
          <w:b/>
          <w:bCs/>
          <w:i/>
          <w:iCs/>
          <w:noProof/>
          <w:sz w:val="22"/>
          <w:szCs w:val="22"/>
          <w:lang w:val="en-GB"/>
        </w:rPr>
        <w:t xml:space="preserve">Priority 4.2 – </w:t>
      </w:r>
      <w:r w:rsidR="00FF034D" w:rsidRPr="00FF034D">
        <w:rPr>
          <w:rFonts w:asciiTheme="majorHAnsi" w:hAnsiTheme="majorHAnsi"/>
          <w:b/>
          <w:bCs/>
          <w:i/>
          <w:iCs/>
          <w:noProof/>
          <w:sz w:val="22"/>
          <w:szCs w:val="22"/>
          <w:lang w:val="en-GB"/>
        </w:rPr>
        <w:t>Support to joint activities for the prevention of natural and man-made disasters as well as joint action during emergency situations</w:t>
      </w:r>
    </w:p>
    <w:p w:rsidR="00FF034D" w:rsidRPr="00FF034D" w:rsidRDefault="00FF034D" w:rsidP="00FF034D">
      <w:pPr>
        <w:pStyle w:val="Default"/>
        <w:numPr>
          <w:ilvl w:val="0"/>
          <w:numId w:val="16"/>
        </w:numPr>
        <w:jc w:val="both"/>
        <w:rPr>
          <w:rFonts w:asciiTheme="majorHAnsi" w:hAnsiTheme="majorHAnsi"/>
          <w:noProof/>
          <w:sz w:val="22"/>
          <w:szCs w:val="22"/>
          <w:lang w:val="en-GB"/>
        </w:rPr>
      </w:pPr>
      <w:r w:rsidRPr="00FF034D">
        <w:rPr>
          <w:rFonts w:asciiTheme="majorHAnsi" w:hAnsiTheme="majorHAnsi"/>
          <w:noProof/>
          <w:sz w:val="22"/>
          <w:szCs w:val="22"/>
          <w:lang w:val="en-GB"/>
        </w:rPr>
        <w:t>National/ regional/ local public administration and other public institutions, including environmental organizations  acting in the area of mitigation of disaster risk and effects and emergency situations;</w:t>
      </w:r>
    </w:p>
    <w:p w:rsidR="00FF034D" w:rsidRPr="00FF034D" w:rsidRDefault="00FF034D" w:rsidP="00FF034D">
      <w:pPr>
        <w:pStyle w:val="Default"/>
        <w:numPr>
          <w:ilvl w:val="0"/>
          <w:numId w:val="16"/>
        </w:numPr>
        <w:jc w:val="both"/>
        <w:rPr>
          <w:rFonts w:asciiTheme="majorHAnsi" w:hAnsiTheme="majorHAnsi"/>
          <w:noProof/>
          <w:sz w:val="22"/>
          <w:szCs w:val="22"/>
          <w:lang w:val="en-GB"/>
        </w:rPr>
      </w:pPr>
      <w:r w:rsidRPr="00FF034D">
        <w:rPr>
          <w:rFonts w:asciiTheme="majorHAnsi" w:hAnsiTheme="majorHAnsi"/>
          <w:noProof/>
          <w:sz w:val="22"/>
          <w:szCs w:val="22"/>
          <w:lang w:val="en-GB"/>
        </w:rPr>
        <w:t>Research organizations, NGOs</w:t>
      </w:r>
    </w:p>
    <w:p w:rsidR="00A7498B" w:rsidRPr="007D76BF" w:rsidRDefault="00A7498B" w:rsidP="00A7498B">
      <w:pPr>
        <w:pStyle w:val="Default"/>
        <w:jc w:val="both"/>
        <w:rPr>
          <w:rFonts w:asciiTheme="majorHAnsi" w:hAnsiTheme="majorHAnsi"/>
          <w:noProof/>
          <w:sz w:val="22"/>
          <w:szCs w:val="22"/>
          <w:lang w:val="en-GB"/>
        </w:rPr>
      </w:pPr>
    </w:p>
    <w:p w:rsidR="00937307" w:rsidRPr="007D76BF" w:rsidRDefault="00937307" w:rsidP="00937307">
      <w:pPr>
        <w:pStyle w:val="Default"/>
        <w:jc w:val="both"/>
        <w:rPr>
          <w:rFonts w:asciiTheme="majorHAnsi" w:hAnsiTheme="majorHAnsi"/>
          <w:b/>
          <w:bCs/>
          <w:i/>
          <w:iCs/>
          <w:noProof/>
          <w:sz w:val="22"/>
          <w:szCs w:val="22"/>
          <w:lang w:val="en-GB"/>
        </w:rPr>
      </w:pPr>
      <w:r w:rsidRPr="007D76BF">
        <w:rPr>
          <w:rFonts w:asciiTheme="majorHAnsi" w:hAnsiTheme="majorHAnsi"/>
          <w:b/>
          <w:bCs/>
          <w:i/>
          <w:iCs/>
          <w:noProof/>
          <w:sz w:val="22"/>
          <w:szCs w:val="22"/>
          <w:lang w:val="en-GB"/>
        </w:rPr>
        <w:t xml:space="preserve">Priority 4.3 - </w:t>
      </w:r>
      <w:r w:rsidR="00FF034D" w:rsidRPr="00FF034D">
        <w:rPr>
          <w:rFonts w:asciiTheme="majorHAnsi" w:hAnsiTheme="majorHAnsi"/>
          <w:b/>
          <w:bCs/>
          <w:i/>
          <w:iCs/>
          <w:noProof/>
          <w:sz w:val="22"/>
          <w:szCs w:val="22"/>
          <w:lang w:val="en-GB"/>
        </w:rPr>
        <w:t>Prevention and fight against organized crime and police cooperation</w:t>
      </w:r>
    </w:p>
    <w:p w:rsidR="00FF034D" w:rsidRPr="00FF034D" w:rsidRDefault="00FF034D" w:rsidP="00FF034D">
      <w:pPr>
        <w:pStyle w:val="Default"/>
        <w:numPr>
          <w:ilvl w:val="0"/>
          <w:numId w:val="7"/>
        </w:numPr>
        <w:jc w:val="both"/>
        <w:rPr>
          <w:rFonts w:asciiTheme="majorHAnsi" w:hAnsiTheme="majorHAnsi"/>
          <w:noProof/>
          <w:sz w:val="22"/>
          <w:szCs w:val="22"/>
          <w:lang w:val="en-GB"/>
        </w:rPr>
      </w:pPr>
      <w:r w:rsidRPr="00FF034D">
        <w:rPr>
          <w:rFonts w:asciiTheme="majorHAnsi" w:hAnsiTheme="majorHAnsi"/>
          <w:noProof/>
          <w:sz w:val="22"/>
          <w:szCs w:val="22"/>
          <w:lang w:val="en-GB"/>
        </w:rPr>
        <w:lastRenderedPageBreak/>
        <w:t>Custom services, border police, police, other national/regional/local public  institutions acting in the area of crime prevention and police, professional associations</w:t>
      </w:r>
    </w:p>
    <w:p w:rsidR="00FF034D" w:rsidRDefault="00FF034D" w:rsidP="00FF034D">
      <w:pPr>
        <w:pStyle w:val="Default"/>
        <w:numPr>
          <w:ilvl w:val="0"/>
          <w:numId w:val="7"/>
        </w:numPr>
        <w:jc w:val="both"/>
        <w:rPr>
          <w:rFonts w:asciiTheme="majorHAnsi" w:hAnsiTheme="majorHAnsi"/>
          <w:noProof/>
          <w:sz w:val="22"/>
          <w:szCs w:val="22"/>
          <w:lang w:val="en-GB"/>
        </w:rPr>
      </w:pPr>
      <w:r w:rsidRPr="00FF034D">
        <w:rPr>
          <w:rFonts w:asciiTheme="majorHAnsi" w:hAnsiTheme="majorHAnsi"/>
          <w:noProof/>
          <w:sz w:val="22"/>
          <w:szCs w:val="22"/>
          <w:lang w:val="en-GB"/>
        </w:rPr>
        <w:t>National/ regional/ local public administration and other public institutions</w:t>
      </w:r>
    </w:p>
    <w:p w:rsidR="0097381A" w:rsidRPr="00D762CF" w:rsidRDefault="0097381A" w:rsidP="0097381A">
      <w:pPr>
        <w:pStyle w:val="Default"/>
        <w:numPr>
          <w:ilvl w:val="0"/>
          <w:numId w:val="7"/>
        </w:numPr>
        <w:jc w:val="both"/>
        <w:rPr>
          <w:rFonts w:asciiTheme="majorHAnsi" w:hAnsiTheme="majorHAnsi"/>
          <w:noProof/>
          <w:lang w:val="en-GB"/>
        </w:rPr>
      </w:pPr>
      <w:r>
        <w:rPr>
          <w:rFonts w:asciiTheme="majorHAnsi" w:hAnsiTheme="majorHAnsi"/>
          <w:noProof/>
          <w:sz w:val="22"/>
          <w:szCs w:val="22"/>
          <w:lang w:val="en-GB"/>
        </w:rPr>
        <w:t>I</w:t>
      </w:r>
      <w:r w:rsidRPr="00D762CF">
        <w:rPr>
          <w:rFonts w:asciiTheme="majorHAnsi" w:hAnsiTheme="majorHAnsi"/>
          <w:noProof/>
          <w:sz w:val="22"/>
          <w:szCs w:val="22"/>
          <w:lang w:val="en-GB"/>
        </w:rPr>
        <w:t>nternational organizations with a base of operation in the core regions of the Programme or European Groupings of Territorial Cooperation regardless of their place of establishment, provided their geographic coverage is within the core regions of the Programme.</w:t>
      </w:r>
    </w:p>
    <w:p w:rsidR="0097381A" w:rsidRPr="00FF034D" w:rsidRDefault="0097381A" w:rsidP="0097381A">
      <w:pPr>
        <w:pStyle w:val="Default"/>
        <w:ind w:left="720"/>
        <w:jc w:val="both"/>
        <w:rPr>
          <w:rFonts w:asciiTheme="majorHAnsi" w:hAnsiTheme="majorHAnsi"/>
          <w:noProof/>
          <w:sz w:val="22"/>
          <w:szCs w:val="22"/>
          <w:lang w:val="en-GB"/>
        </w:rPr>
      </w:pPr>
      <w:bookmarkStart w:id="0" w:name="_GoBack"/>
      <w:bookmarkEnd w:id="0"/>
    </w:p>
    <w:p w:rsidR="0097381A" w:rsidRDefault="0097381A" w:rsidP="00FF034D">
      <w:pPr>
        <w:pStyle w:val="Default"/>
        <w:ind w:left="720"/>
        <w:jc w:val="both"/>
        <w:rPr>
          <w:rFonts w:asciiTheme="majorHAnsi" w:hAnsiTheme="majorHAnsi"/>
          <w:noProof/>
          <w:lang w:val="en-GB"/>
        </w:rPr>
      </w:pPr>
    </w:p>
    <w:p w:rsidR="0097381A" w:rsidRPr="00AE251F" w:rsidRDefault="0097381A" w:rsidP="00FF034D">
      <w:pPr>
        <w:pStyle w:val="Default"/>
        <w:ind w:left="720"/>
        <w:jc w:val="both"/>
        <w:rPr>
          <w:rFonts w:asciiTheme="majorHAnsi" w:hAnsiTheme="majorHAnsi"/>
          <w:noProof/>
          <w:lang w:val="en-GB"/>
        </w:rPr>
      </w:pPr>
    </w:p>
    <w:sectPr w:rsidR="0097381A" w:rsidRPr="00AE251F" w:rsidSect="003004E6">
      <w:headerReference w:type="default" r:id="rId9"/>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BE6" w:rsidRDefault="009F6BE6" w:rsidP="00ED1CBB">
      <w:pPr>
        <w:spacing w:after="0" w:line="240" w:lineRule="auto"/>
      </w:pPr>
      <w:r>
        <w:separator/>
      </w:r>
    </w:p>
  </w:endnote>
  <w:endnote w:type="continuationSeparator" w:id="0">
    <w:p w:rsidR="009F6BE6" w:rsidRDefault="009F6BE6" w:rsidP="00ED1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BE6" w:rsidRDefault="009F6BE6" w:rsidP="00ED1CBB">
      <w:pPr>
        <w:spacing w:after="0" w:line="240" w:lineRule="auto"/>
      </w:pPr>
      <w:r>
        <w:separator/>
      </w:r>
    </w:p>
  </w:footnote>
  <w:footnote w:type="continuationSeparator" w:id="0">
    <w:p w:rsidR="009F6BE6" w:rsidRDefault="009F6BE6" w:rsidP="00ED1CBB">
      <w:pPr>
        <w:spacing w:after="0" w:line="240" w:lineRule="auto"/>
      </w:pPr>
      <w:r>
        <w:continuationSeparator/>
      </w:r>
    </w:p>
  </w:footnote>
  <w:footnote w:id="1">
    <w:p w:rsidR="00FD3EA6" w:rsidRPr="00FD3EA6" w:rsidRDefault="00FD3EA6">
      <w:pPr>
        <w:pStyle w:val="FootnoteText"/>
        <w:rPr>
          <w:lang w:val="en-US"/>
        </w:rPr>
      </w:pPr>
      <w:r>
        <w:rPr>
          <w:rStyle w:val="FootnoteReference"/>
        </w:rPr>
        <w:footnoteRef/>
      </w:r>
      <w:r>
        <w:t xml:space="preserve"> </w:t>
      </w:r>
      <w:r w:rsidRPr="00FD3EA6">
        <w:t>These beneficiaries are eligible in the context in which they work in association with education institutions.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709" w:rsidRPr="004A4E47" w:rsidRDefault="007E1709" w:rsidP="007E1709">
    <w:pPr>
      <w:tabs>
        <w:tab w:val="center" w:pos="4320"/>
        <w:tab w:val="right" w:pos="10773"/>
      </w:tabs>
      <w:spacing w:after="0" w:line="240" w:lineRule="auto"/>
      <w:jc w:val="both"/>
      <w:rPr>
        <w:rFonts w:ascii="Trebuchet MS" w:eastAsia="MS Mincho" w:hAnsi="Trebuchet MS" w:cs="Trebuchet MS"/>
        <w:sz w:val="14"/>
        <w:szCs w:val="14"/>
      </w:rPr>
    </w:pPr>
    <w:r>
      <w:rPr>
        <w:rFonts w:ascii="Trebuchet MS" w:eastAsia="MS Mincho" w:hAnsi="Trebuchet MS" w:cs="Trebuchet MS"/>
        <w:sz w:val="14"/>
        <w:szCs w:val="14"/>
      </w:rPr>
      <w:t xml:space="preserve">  </w:t>
    </w:r>
    <w:r w:rsidRPr="004A4E47">
      <w:rPr>
        <w:rFonts w:ascii="Trebuchet MS" w:eastAsia="MS Mincho" w:hAnsi="Trebuchet MS" w:cs="Trebuchet MS"/>
        <w:sz w:val="14"/>
        <w:szCs w:val="14"/>
      </w:rPr>
      <w:t xml:space="preserve"> </w:t>
    </w:r>
    <w:r w:rsidRPr="004A4E47">
      <w:rPr>
        <w:rFonts w:ascii="Trebuchet MS" w:hAnsi="Trebuchet MS" w:cs="Calibri"/>
        <w:noProof/>
        <w:lang w:val="en-US"/>
      </w:rPr>
      <w:drawing>
        <wp:inline distT="0" distB="0" distL="0" distR="0" wp14:anchorId="6450C3B1" wp14:editId="097042AF">
          <wp:extent cx="962025" cy="600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Pr>
        <w:rFonts w:ascii="Trebuchet MS" w:eastAsia="MS Mincho" w:hAnsi="Trebuchet MS" w:cs="Trebuchet MS"/>
        <w:sz w:val="14"/>
        <w:szCs w:val="14"/>
      </w:rPr>
      <w:t xml:space="preserve">  </w:t>
    </w:r>
    <w:r w:rsidR="00FC2CDD">
      <w:rPr>
        <w:rFonts w:ascii="Trebuchet MS" w:eastAsia="MS Mincho" w:hAnsi="Trebuchet MS" w:cs="Trebuchet MS"/>
        <w:sz w:val="14"/>
        <w:szCs w:val="14"/>
      </w:rPr>
      <w:t xml:space="preserve">           </w:t>
    </w:r>
    <w:r w:rsidRPr="004A4E47">
      <w:rPr>
        <w:rFonts w:ascii="Trebuchet MS" w:eastAsia="MS Mincho" w:hAnsi="Trebuchet MS" w:cs="Trebuchet MS"/>
        <w:sz w:val="14"/>
        <w:szCs w:val="14"/>
      </w:rPr>
      <w:t xml:space="preserve">                                           </w:t>
    </w:r>
    <w:r>
      <w:rPr>
        <w:rFonts w:ascii="Trebuchet MS" w:eastAsia="MS Mincho" w:hAnsi="Trebuchet MS" w:cs="Trebuchet MS"/>
        <w:sz w:val="14"/>
        <w:szCs w:val="14"/>
      </w:rPr>
      <w:t xml:space="preserve"> </w:t>
    </w:r>
    <w:r w:rsidR="00FC2CDD">
      <w:rPr>
        <w:rFonts w:ascii="Trebuchet MS" w:eastAsia="MS Mincho" w:hAnsi="Trebuchet MS" w:cs="Trebuchet MS"/>
        <w:sz w:val="14"/>
        <w:szCs w:val="14"/>
      </w:rPr>
      <w:t xml:space="preserve">                                         </w:t>
    </w:r>
    <w:r w:rsidR="00E95A98">
      <w:rPr>
        <w:rFonts w:ascii="Trebuchet MS" w:eastAsia="MS Mincho" w:hAnsi="Trebuchet MS" w:cs="Trebuchet MS"/>
        <w:sz w:val="14"/>
        <w:szCs w:val="14"/>
      </w:rPr>
      <w:t xml:space="preserve">                                  </w:t>
    </w:r>
    <w:r w:rsidR="00FC2CDD">
      <w:rPr>
        <w:rFonts w:ascii="Trebuchet MS" w:eastAsia="MS Mincho" w:hAnsi="Trebuchet MS" w:cs="Trebuchet MS"/>
        <w:sz w:val="14"/>
        <w:szCs w:val="14"/>
      </w:rPr>
      <w:t xml:space="preserve">   </w:t>
    </w:r>
    <w:r w:rsidR="00E95A98">
      <w:rPr>
        <w:noProof/>
        <w:lang w:val="en-US"/>
      </w:rPr>
      <w:drawing>
        <wp:inline distT="0" distB="0" distL="0" distR="0">
          <wp:extent cx="1264285" cy="612140"/>
          <wp:effectExtent l="0" t="0" r="0" b="0"/>
          <wp:docPr id="3" name="Picture 3" descr="Description: 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sidR="00FC2CDD">
      <w:rPr>
        <w:rFonts w:ascii="Trebuchet MS" w:eastAsia="MS Mincho" w:hAnsi="Trebuchet MS" w:cs="Trebuchet MS"/>
        <w:sz w:val="14"/>
        <w:szCs w:val="14"/>
      </w:rPr>
      <w:t xml:space="preserve">                               </w:t>
    </w:r>
    <w:r>
      <w:rPr>
        <w:rFonts w:ascii="Trebuchet MS" w:eastAsia="MS Mincho" w:hAnsi="Trebuchet MS" w:cs="Trebuchet MS"/>
        <w:sz w:val="14"/>
        <w:szCs w:val="14"/>
      </w:rPr>
      <w:t xml:space="preserve"> </w:t>
    </w:r>
    <w:r w:rsidR="0096180B">
      <w:rPr>
        <w:rFonts w:ascii="Trebuchet MS" w:eastAsia="MS Mincho" w:hAnsi="Trebuchet MS" w:cs="Trebuchet MS"/>
        <w:sz w:val="14"/>
        <w:szCs w:val="14"/>
      </w:rPr>
      <w:t xml:space="preserve">  </w:t>
    </w:r>
    <w:r>
      <w:rPr>
        <w:rFonts w:ascii="Trebuchet MS" w:eastAsia="MS Mincho" w:hAnsi="Trebuchet MS" w:cs="Trebuchet MS"/>
        <w:sz w:val="14"/>
        <w:szCs w:val="14"/>
      </w:rPr>
      <w:t xml:space="preserve">   </w:t>
    </w:r>
    <w:r w:rsidRPr="004A4E47">
      <w:rPr>
        <w:rFonts w:ascii="Trebuchet MS" w:eastAsia="MS Mincho" w:hAnsi="Trebuchet MS" w:cs="Trebuchet MS"/>
        <w:sz w:val="14"/>
        <w:szCs w:val="14"/>
      </w:rPr>
      <w:t xml:space="preserve">                                              </w:t>
    </w:r>
    <w:r>
      <w:rPr>
        <w:rFonts w:ascii="Trebuchet MS" w:eastAsia="MS Mincho" w:hAnsi="Trebuchet MS" w:cs="Trebuchet MS"/>
        <w:sz w:val="14"/>
        <w:szCs w:val="14"/>
      </w:rPr>
      <w:t xml:space="preserve">                                         </w:t>
    </w:r>
  </w:p>
  <w:p w:rsidR="007E1709" w:rsidRPr="00CC0DAE" w:rsidRDefault="007E1709" w:rsidP="007E1709">
    <w:pPr>
      <w:tabs>
        <w:tab w:val="left" w:pos="1276"/>
      </w:tabs>
      <w:spacing w:after="0" w:line="240" w:lineRule="auto"/>
      <w:jc w:val="both"/>
      <w:rPr>
        <w:rFonts w:ascii="Calibri Light" w:hAnsi="Calibri Light" w:cs="Calibri"/>
        <w:b/>
        <w:sz w:val="16"/>
        <w:szCs w:val="16"/>
      </w:rPr>
    </w:pPr>
    <w:r>
      <w:rPr>
        <w:rFonts w:ascii="Trebuchet MS" w:hAnsi="Trebuchet MS" w:cs="Calibri"/>
        <w:b/>
        <w:sz w:val="16"/>
        <w:szCs w:val="16"/>
      </w:rPr>
      <w:t xml:space="preserve">  </w:t>
    </w:r>
    <w:r w:rsidRPr="00CC0DAE">
      <w:rPr>
        <w:rFonts w:ascii="Calibri Light" w:hAnsi="Calibri Light" w:cs="Calibri"/>
        <w:b/>
        <w:sz w:val="16"/>
        <w:szCs w:val="16"/>
      </w:rPr>
      <w:t>Program</w:t>
    </w:r>
    <w:r w:rsidR="00CC0DAE" w:rsidRPr="00CC0DAE">
      <w:rPr>
        <w:rFonts w:ascii="Calibri Light" w:hAnsi="Calibri Light" w:cs="Calibri"/>
        <w:b/>
        <w:sz w:val="16"/>
        <w:szCs w:val="16"/>
      </w:rPr>
      <w:t>m</w:t>
    </w:r>
    <w:r w:rsidRPr="00CC0DAE">
      <w:rPr>
        <w:rFonts w:ascii="Calibri Light" w:hAnsi="Calibri Light" w:cs="Calibri"/>
        <w:b/>
        <w:sz w:val="16"/>
        <w:szCs w:val="16"/>
      </w:rPr>
      <w:t>e funded by</w:t>
    </w:r>
  </w:p>
  <w:p w:rsidR="007E1709" w:rsidRPr="00CC0DAE" w:rsidRDefault="007E1709" w:rsidP="007E1709">
    <w:pPr>
      <w:tabs>
        <w:tab w:val="left" w:pos="1276"/>
      </w:tabs>
      <w:spacing w:after="0" w:line="240" w:lineRule="auto"/>
      <w:jc w:val="both"/>
      <w:rPr>
        <w:rFonts w:ascii="Calibri Light" w:hAnsi="Calibri Light" w:cs="Calibri"/>
        <w:b/>
        <w:sz w:val="16"/>
        <w:szCs w:val="16"/>
      </w:rPr>
    </w:pPr>
    <w:r w:rsidRPr="00CC0DAE">
      <w:rPr>
        <w:rFonts w:ascii="Calibri Light" w:hAnsi="Calibri Light" w:cs="Calibri"/>
        <w:b/>
        <w:sz w:val="16"/>
        <w:szCs w:val="16"/>
      </w:rPr>
      <w:t xml:space="preserve">  the European Union</w:t>
    </w:r>
    <w:r w:rsidRPr="00CC0DAE">
      <w:rPr>
        <w:rFonts w:ascii="Calibri Light" w:hAnsi="Calibri Light" w:cs="Calibri"/>
        <w:b/>
      </w:rPr>
      <w:t xml:space="preserve">   </w:t>
    </w:r>
  </w:p>
  <w:p w:rsidR="00CC0DAE" w:rsidRDefault="00CC0DAE" w:rsidP="007E1709">
    <w:pPr>
      <w:pStyle w:val="Header"/>
      <w:rPr>
        <w:rFonts w:asciiTheme="majorHAnsi" w:hAnsiTheme="majorHAnsi"/>
        <w:noProof/>
      </w:rPr>
    </w:pPr>
  </w:p>
  <w:p w:rsidR="00ED1CBB" w:rsidRDefault="00AD0CFB" w:rsidP="007E1709">
    <w:pPr>
      <w:pStyle w:val="Header"/>
      <w:rPr>
        <w:rFonts w:asciiTheme="majorHAnsi" w:hAnsiTheme="majorHAnsi"/>
        <w:noProof/>
        <w:lang w:val="en-GB"/>
      </w:rPr>
    </w:pPr>
    <w:r>
      <w:rPr>
        <w:rFonts w:asciiTheme="majorHAnsi" w:hAnsiTheme="majorHAnsi"/>
        <w:noProof/>
      </w:rPr>
      <w:t>2</w:t>
    </w:r>
    <w:r w:rsidRPr="00E91F13">
      <w:rPr>
        <w:rFonts w:asciiTheme="majorHAnsi" w:hAnsiTheme="majorHAnsi"/>
        <w:noProof/>
        <w:vertAlign w:val="superscript"/>
      </w:rPr>
      <w:t>nd</w:t>
    </w:r>
    <w:r>
      <w:rPr>
        <w:rFonts w:asciiTheme="majorHAnsi" w:hAnsiTheme="majorHAnsi"/>
        <w:noProof/>
      </w:rPr>
      <w:t xml:space="preserve"> Call for proposals</w:t>
    </w:r>
    <w:r w:rsidR="0096180B">
      <w:rPr>
        <w:rFonts w:asciiTheme="majorHAnsi" w:hAnsiTheme="majorHAnsi"/>
        <w:noProof/>
      </w:rPr>
      <w:t xml:space="preserve"> </w:t>
    </w:r>
  </w:p>
  <w:p w:rsidR="00ED1CBB" w:rsidRDefault="00ED1CBB" w:rsidP="00ED1CBB">
    <w:pPr>
      <w:pStyle w:val="Header"/>
      <w:rPr>
        <w:rFonts w:asciiTheme="majorHAnsi" w:hAnsiTheme="majorHAnsi"/>
        <w:b/>
        <w:noProof/>
      </w:rPr>
    </w:pPr>
    <w:r>
      <w:rPr>
        <w:rFonts w:asciiTheme="majorHAnsi" w:hAnsiTheme="majorHAnsi"/>
        <w:noProof/>
      </w:rPr>
      <w:t xml:space="preserve">Guidelines for grant applicants – </w:t>
    </w:r>
    <w:r w:rsidR="00B25EE4">
      <w:rPr>
        <w:rFonts w:asciiTheme="majorHAnsi" w:hAnsiTheme="majorHAnsi"/>
        <w:noProof/>
      </w:rPr>
      <w:t>SOFT</w:t>
    </w:r>
    <w:r>
      <w:rPr>
        <w:rFonts w:asciiTheme="majorHAnsi" w:hAnsiTheme="majorHAnsi"/>
        <w:noProof/>
      </w:rPr>
      <w:t xml:space="preserve"> projects</w:t>
    </w:r>
    <w:r>
      <w:rPr>
        <w:rFonts w:asciiTheme="majorHAnsi" w:hAnsiTheme="majorHAnsi"/>
        <w:noProof/>
      </w:rPr>
      <w:tab/>
    </w:r>
    <w:r>
      <w:rPr>
        <w:rFonts w:asciiTheme="majorHAnsi" w:hAnsiTheme="majorHAnsi"/>
        <w:noProof/>
      </w:rPr>
      <w:tab/>
    </w:r>
    <w:r w:rsidR="007E3E80">
      <w:rPr>
        <w:rFonts w:asciiTheme="majorHAnsi" w:hAnsiTheme="majorHAnsi"/>
        <w:b/>
        <w:noProof/>
      </w:rPr>
      <w:t xml:space="preserve">ANNEX </w:t>
    </w:r>
    <w:r w:rsidR="00AD0CFB">
      <w:rPr>
        <w:rFonts w:asciiTheme="majorHAnsi" w:hAnsiTheme="majorHAnsi"/>
        <w:b/>
        <w:noProof/>
      </w:rPr>
      <w:t>H</w:t>
    </w:r>
    <w:r>
      <w:rPr>
        <w:rFonts w:asciiTheme="majorHAnsi" w:hAnsiTheme="majorHAnsi"/>
        <w:b/>
        <w:noProof/>
      </w:rPr>
      <w:t>.1</w:t>
    </w:r>
  </w:p>
  <w:p w:rsidR="00ED1CBB" w:rsidRDefault="00ED1C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7B8E"/>
    <w:multiLevelType w:val="hybridMultilevel"/>
    <w:tmpl w:val="8C981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B25FE"/>
    <w:multiLevelType w:val="hybridMultilevel"/>
    <w:tmpl w:val="5B42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BC4470"/>
    <w:multiLevelType w:val="hybridMultilevel"/>
    <w:tmpl w:val="6D944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A52E40"/>
    <w:multiLevelType w:val="hybridMultilevel"/>
    <w:tmpl w:val="0970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11339A"/>
    <w:multiLevelType w:val="hybridMultilevel"/>
    <w:tmpl w:val="95CC2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66087F"/>
    <w:multiLevelType w:val="hybridMultilevel"/>
    <w:tmpl w:val="3B8CE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D13827"/>
    <w:multiLevelType w:val="hybridMultilevel"/>
    <w:tmpl w:val="C92C2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4F687D"/>
    <w:multiLevelType w:val="hybridMultilevel"/>
    <w:tmpl w:val="C350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0C7A92"/>
    <w:multiLevelType w:val="hybridMultilevel"/>
    <w:tmpl w:val="F3443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1436BA"/>
    <w:multiLevelType w:val="hybridMultilevel"/>
    <w:tmpl w:val="6A5EF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9B0D5A"/>
    <w:multiLevelType w:val="hybridMultilevel"/>
    <w:tmpl w:val="BBE86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3816CA"/>
    <w:multiLevelType w:val="hybridMultilevel"/>
    <w:tmpl w:val="DA10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5C6F3A"/>
    <w:multiLevelType w:val="hybridMultilevel"/>
    <w:tmpl w:val="BE4873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60D3FA2"/>
    <w:multiLevelType w:val="hybridMultilevel"/>
    <w:tmpl w:val="D6D6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DA5D6C"/>
    <w:multiLevelType w:val="hybridMultilevel"/>
    <w:tmpl w:val="63901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CF167A"/>
    <w:multiLevelType w:val="hybridMultilevel"/>
    <w:tmpl w:val="1A128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7"/>
  </w:num>
  <w:num w:numId="3">
    <w:abstractNumId w:val="3"/>
  </w:num>
  <w:num w:numId="4">
    <w:abstractNumId w:val="4"/>
  </w:num>
  <w:num w:numId="5">
    <w:abstractNumId w:val="14"/>
  </w:num>
  <w:num w:numId="6">
    <w:abstractNumId w:val="13"/>
  </w:num>
  <w:num w:numId="7">
    <w:abstractNumId w:val="0"/>
  </w:num>
  <w:num w:numId="8">
    <w:abstractNumId w:val="5"/>
  </w:num>
  <w:num w:numId="9">
    <w:abstractNumId w:val="2"/>
  </w:num>
  <w:num w:numId="10">
    <w:abstractNumId w:val="8"/>
  </w:num>
  <w:num w:numId="11">
    <w:abstractNumId w:val="12"/>
  </w:num>
  <w:num w:numId="12">
    <w:abstractNumId w:val="11"/>
  </w:num>
  <w:num w:numId="13">
    <w:abstractNumId w:val="15"/>
  </w:num>
  <w:num w:numId="14">
    <w:abstractNumId w:val="6"/>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E46"/>
    <w:rsid w:val="00060912"/>
    <w:rsid w:val="001949CB"/>
    <w:rsid w:val="00197B72"/>
    <w:rsid w:val="001B032B"/>
    <w:rsid w:val="003004E6"/>
    <w:rsid w:val="0048257B"/>
    <w:rsid w:val="00612EB9"/>
    <w:rsid w:val="006F50B8"/>
    <w:rsid w:val="007B763F"/>
    <w:rsid w:val="007D76BF"/>
    <w:rsid w:val="007E1709"/>
    <w:rsid w:val="007E3E80"/>
    <w:rsid w:val="00937307"/>
    <w:rsid w:val="0096180B"/>
    <w:rsid w:val="0097381A"/>
    <w:rsid w:val="009D7E2E"/>
    <w:rsid w:val="009F05C6"/>
    <w:rsid w:val="009F6BE6"/>
    <w:rsid w:val="009F6E17"/>
    <w:rsid w:val="00A7498B"/>
    <w:rsid w:val="00AD0CFB"/>
    <w:rsid w:val="00AE251F"/>
    <w:rsid w:val="00B25EE4"/>
    <w:rsid w:val="00C35E46"/>
    <w:rsid w:val="00C46144"/>
    <w:rsid w:val="00C95AF0"/>
    <w:rsid w:val="00CC0DAE"/>
    <w:rsid w:val="00D0333B"/>
    <w:rsid w:val="00E95A98"/>
    <w:rsid w:val="00ED1CBB"/>
    <w:rsid w:val="00FC2CDD"/>
    <w:rsid w:val="00FD3EA6"/>
    <w:rsid w:val="00FF0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5E4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D1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CBB"/>
    <w:rPr>
      <w:lang w:val="ro-RO"/>
    </w:rPr>
  </w:style>
  <w:style w:type="paragraph" w:styleId="Footer">
    <w:name w:val="footer"/>
    <w:basedOn w:val="Normal"/>
    <w:link w:val="FooterChar"/>
    <w:uiPriority w:val="99"/>
    <w:unhideWhenUsed/>
    <w:rsid w:val="00ED1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CBB"/>
    <w:rPr>
      <w:lang w:val="ro-RO"/>
    </w:rPr>
  </w:style>
  <w:style w:type="paragraph" w:styleId="ListParagraph">
    <w:name w:val="List Paragraph"/>
    <w:basedOn w:val="Normal"/>
    <w:uiPriority w:val="34"/>
    <w:qFormat/>
    <w:rsid w:val="00B25EE4"/>
    <w:pPr>
      <w:ind w:left="720"/>
      <w:contextualSpacing/>
    </w:pPr>
  </w:style>
  <w:style w:type="paragraph" w:styleId="BalloonText">
    <w:name w:val="Balloon Text"/>
    <w:basedOn w:val="Normal"/>
    <w:link w:val="BalloonTextChar"/>
    <w:uiPriority w:val="99"/>
    <w:semiHidden/>
    <w:unhideWhenUsed/>
    <w:rsid w:val="00FC2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CDD"/>
    <w:rPr>
      <w:rFonts w:ascii="Tahoma" w:hAnsi="Tahoma" w:cs="Tahoma"/>
      <w:sz w:val="16"/>
      <w:szCs w:val="16"/>
      <w:lang w:val="ro-RO"/>
    </w:rPr>
  </w:style>
  <w:style w:type="paragraph" w:styleId="FootnoteText">
    <w:name w:val="footnote text"/>
    <w:basedOn w:val="Normal"/>
    <w:link w:val="FootnoteTextChar"/>
    <w:uiPriority w:val="99"/>
    <w:semiHidden/>
    <w:unhideWhenUsed/>
    <w:rsid w:val="00FD3E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3EA6"/>
    <w:rPr>
      <w:sz w:val="20"/>
      <w:szCs w:val="20"/>
      <w:lang w:val="ro-RO"/>
    </w:rPr>
  </w:style>
  <w:style w:type="character" w:styleId="FootnoteReference">
    <w:name w:val="footnote reference"/>
    <w:basedOn w:val="DefaultParagraphFont"/>
    <w:uiPriority w:val="99"/>
    <w:semiHidden/>
    <w:unhideWhenUsed/>
    <w:rsid w:val="00FD3EA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5E4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D1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CBB"/>
    <w:rPr>
      <w:lang w:val="ro-RO"/>
    </w:rPr>
  </w:style>
  <w:style w:type="paragraph" w:styleId="Footer">
    <w:name w:val="footer"/>
    <w:basedOn w:val="Normal"/>
    <w:link w:val="FooterChar"/>
    <w:uiPriority w:val="99"/>
    <w:unhideWhenUsed/>
    <w:rsid w:val="00ED1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CBB"/>
    <w:rPr>
      <w:lang w:val="ro-RO"/>
    </w:rPr>
  </w:style>
  <w:style w:type="paragraph" w:styleId="ListParagraph">
    <w:name w:val="List Paragraph"/>
    <w:basedOn w:val="Normal"/>
    <w:uiPriority w:val="34"/>
    <w:qFormat/>
    <w:rsid w:val="00B25EE4"/>
    <w:pPr>
      <w:ind w:left="720"/>
      <w:contextualSpacing/>
    </w:pPr>
  </w:style>
  <w:style w:type="paragraph" w:styleId="BalloonText">
    <w:name w:val="Balloon Text"/>
    <w:basedOn w:val="Normal"/>
    <w:link w:val="BalloonTextChar"/>
    <w:uiPriority w:val="99"/>
    <w:semiHidden/>
    <w:unhideWhenUsed/>
    <w:rsid w:val="00FC2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CDD"/>
    <w:rPr>
      <w:rFonts w:ascii="Tahoma" w:hAnsi="Tahoma" w:cs="Tahoma"/>
      <w:sz w:val="16"/>
      <w:szCs w:val="16"/>
      <w:lang w:val="ro-RO"/>
    </w:rPr>
  </w:style>
  <w:style w:type="paragraph" w:styleId="FootnoteText">
    <w:name w:val="footnote text"/>
    <w:basedOn w:val="Normal"/>
    <w:link w:val="FootnoteTextChar"/>
    <w:uiPriority w:val="99"/>
    <w:semiHidden/>
    <w:unhideWhenUsed/>
    <w:rsid w:val="00FD3E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3EA6"/>
    <w:rPr>
      <w:sz w:val="20"/>
      <w:szCs w:val="20"/>
      <w:lang w:val="ro-RO"/>
    </w:rPr>
  </w:style>
  <w:style w:type="character" w:styleId="FootnoteReference">
    <w:name w:val="footnote reference"/>
    <w:basedOn w:val="DefaultParagraphFont"/>
    <w:uiPriority w:val="99"/>
    <w:semiHidden/>
    <w:unhideWhenUsed/>
    <w:rsid w:val="00FD3E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2C4C9-3379-49A5-9861-2FB274E2E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Tanasa</dc:creator>
  <cp:keywords/>
  <dc:description/>
  <cp:lastModifiedBy>Tetiana Liashenko</cp:lastModifiedBy>
  <cp:revision>62</cp:revision>
  <dcterms:created xsi:type="dcterms:W3CDTF">2017-01-17T10:54:00Z</dcterms:created>
  <dcterms:modified xsi:type="dcterms:W3CDTF">2017-12-12T16:23:00Z</dcterms:modified>
</cp:coreProperties>
</file>